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hanging="0"/>
        <w:rPr>
          <w:lang w:val="en-GB"/>
        </w:rPr>
      </w:pPr>
      <w:r>
        <w:rPr>
          <w:lang w:val="en-GB"/>
        </w:rPr>
        <w:t>Most schools are planning to replace sport and exercise classes with more academic sessions. It might be due to increasing volume of information one has to learn these days, or schools find that children would benefit more from academic lessons than physical education, which can happen in some form outside the school. The question remains, is such a change a step in the right direction or should schools reevaluate their decision and put PE and sport back on the curriculum?</w:t>
      </w:r>
    </w:p>
    <w:p>
      <w:pPr>
        <w:pStyle w:val="Normal"/>
        <w:ind w:left="0" w:hanging="0"/>
        <w:rPr>
          <w:rFonts w:ascii="Calibri" w:hAnsi="Calibri" w:eastAsia="Calibri" w:cs="Calibri" w:asciiTheme="minorAscii" w:cstheme="minorAscii" w:eastAsiaTheme="minorAscii" w:hAnsiTheme="minorAscii"/>
          <w:lang w:val="en-GB"/>
        </w:rPr>
      </w:pPr>
      <w:r>
        <w:rPr>
          <w:lang w:val="en-GB"/>
        </w:rPr>
        <w:t xml:space="preserve">Firstly, PE classes represent a break in a stream of academic lessons, it might help students to relax mentally and help to stretch their body stiff from hours of sitting. That is probably why PE is one of the most popular subjects at school. Owing to lack of release, there could be either more of a challenging behaviour or more inattentive students. </w:t>
      </w:r>
    </w:p>
    <w:p>
      <w:pPr>
        <w:pStyle w:val="Normal"/>
        <w:ind w:left="0" w:hanging="0"/>
        <w:rPr>
          <w:lang w:val="en-GB"/>
        </w:rPr>
      </w:pPr>
      <w:r>
        <w:rPr>
          <w:lang w:val="en-GB"/>
        </w:rPr>
        <w:t xml:space="preserve">A further reason supporting the importance of PE is the variety of other skills it helps to develop, such as following rules, self-discipline, cooperation, endurance, perseverance and others. Thus, resulting in forming self-confident and rounded people. Furthermore, sport has been also used as a means to deal with a challenging behaviour. </w:t>
      </w:r>
      <w:r>
        <w:rPr>
          <w:rFonts w:eastAsia="Calibri" w:cs="Calibri"/>
          <w:sz w:val="22"/>
          <w:szCs w:val="22"/>
          <w:lang w:val="en-GB"/>
        </w:rPr>
        <w:t xml:space="preserve">YouTube. (2013). </w:t>
      </w:r>
      <w:r>
        <w:rPr>
          <w:rFonts w:eastAsia="Calibri" w:cs="Calibri"/>
          <w:i/>
          <w:iCs/>
          <w:sz w:val="22"/>
          <w:szCs w:val="22"/>
          <w:lang w:val="en-GB"/>
        </w:rPr>
        <w:t>Teachers TV: Challenging Behaviour</w:t>
      </w:r>
      <w:r>
        <w:rPr>
          <w:rFonts w:eastAsia="Calibri" w:cs="Calibri"/>
          <w:sz w:val="22"/>
          <w:szCs w:val="22"/>
          <w:lang w:val="en-GB"/>
        </w:rPr>
        <w:t xml:space="preserve">. </w:t>
      </w:r>
      <w:r>
        <w:rPr>
          <w:rFonts w:eastAsia="Calibri" w:cs="Calibri"/>
          <w:i/>
          <w:iCs/>
          <w:sz w:val="22"/>
          <w:szCs w:val="22"/>
          <w:lang w:val="en-GB"/>
        </w:rPr>
        <w:t>YouTube</w:t>
      </w:r>
      <w:r>
        <w:rPr>
          <w:rFonts w:eastAsia="Calibri" w:cs="Calibri"/>
          <w:sz w:val="22"/>
          <w:szCs w:val="22"/>
          <w:lang w:val="en-GB"/>
        </w:rPr>
        <w:t xml:space="preserve">. Retrieved November 18, 2023, from </w:t>
      </w:r>
      <w:hyperlink r:id="rId2">
        <w:r>
          <w:rPr>
            <w:rStyle w:val="Internetovodkaz"/>
            <w:rFonts w:eastAsia="Calibri" w:cs="Calibri"/>
            <w:sz w:val="22"/>
            <w:szCs w:val="22"/>
            <w:lang w:val="en-GB"/>
          </w:rPr>
          <w:t>https://www.youtube.com/watch?v=sPvQ7-hTJgM</w:t>
        </w:r>
      </w:hyperlink>
      <w:r>
        <w:rPr>
          <w:rFonts w:eastAsia="Calibri" w:cs="Calibri"/>
          <w:sz w:val="22"/>
          <w:szCs w:val="22"/>
          <w:lang w:val="en-GB"/>
        </w:rPr>
        <w:t>.</w:t>
      </w:r>
    </w:p>
    <w:p>
      <w:pPr>
        <w:pStyle w:val="Normal"/>
        <w:ind w:left="0" w:hanging="0"/>
        <w:rPr>
          <w:lang w:val="en-GB"/>
        </w:rPr>
      </w:pPr>
      <w:r>
        <w:rPr>
          <w:lang w:val="en-GB"/>
        </w:rPr>
        <w:t>Lastly, PE is beneficial to human body, according to Myer (2015) “</w:t>
      </w:r>
      <w:r>
        <w:rPr>
          <w:rFonts w:eastAsia="Calibri" w:cs="Calibri" w:cstheme="minorAscii" w:eastAsiaTheme="minorAscii"/>
          <w:b w:val="false"/>
          <w:bCs w:val="false"/>
          <w:i w:val="false"/>
          <w:iCs w:val="false"/>
          <w:caps w:val="false"/>
          <w:smallCaps w:val="false"/>
          <w:color w:val="212121"/>
          <w:sz w:val="22"/>
          <w:szCs w:val="22"/>
          <w:lang w:val="en-GB"/>
        </w:rPr>
        <w:t xml:space="preserve">the preadolescence period (is) a critical time to develop and reinforce fundamental movement skills in boys and girls” (p.1). Moreover, </w:t>
      </w:r>
      <w:r>
        <w:rPr>
          <w:lang w:val="en-GB"/>
        </w:rPr>
        <w:t>physical activity is generally considered to be a part of a healthy lifestyle, it has been proven to relieve stress, anxiety and add to overall wellbeing. What is more, lack of certain sport skills like swimming or an overall coordination can be life threatening.</w:t>
      </w:r>
    </w:p>
    <w:p>
      <w:pPr>
        <w:pStyle w:val="Normal"/>
        <w:ind w:left="0" w:hanging="0"/>
        <w:rPr>
          <w:lang w:val="en-GB"/>
        </w:rPr>
      </w:pPr>
      <w:r>
        <w:rPr>
          <w:lang w:val="en-GB"/>
        </w:rPr>
        <w:t>To conclude, with replacing PE and sport schools might experience an increase in challenging behaviour and a worsening of school result. Furthermore, it might also prevent students from developing important skills that will be sorely needed later in life. Even though it might look like a necessary step to keep up with the growing demands of parents and employers, in my opinion, not only the larger amount of academic lessons cannot remedy the loss of physical exercise, it could make the situation at schools more challenging.</w:t>
      </w:r>
    </w:p>
    <w:p>
      <w:pPr>
        <w:pStyle w:val="Normal"/>
        <w:ind w:left="0" w:hanging="0"/>
        <w:rPr>
          <w:lang w:val="en-GB"/>
        </w:rPr>
      </w:pPr>
      <w:r>
        <w:rPr>
          <w:lang w:val="en-GB"/>
        </w:rPr>
        <w:t xml:space="preserve">Sources: </w:t>
      </w:r>
    </w:p>
    <w:p>
      <w:pPr>
        <w:pStyle w:val="Normal"/>
        <w:ind w:left="567" w:hanging="567"/>
        <w:rPr/>
      </w:pPr>
      <w:r>
        <w:rPr>
          <w:rFonts w:eastAsia="Calibri" w:cs="Calibri"/>
          <w:sz w:val="22"/>
          <w:szCs w:val="22"/>
          <w:lang w:val="en-GB"/>
        </w:rPr>
        <w:t xml:space="preserve">YouTube. (2013). </w:t>
      </w:r>
      <w:r>
        <w:rPr>
          <w:rFonts w:eastAsia="Calibri" w:cs="Calibri"/>
          <w:i/>
          <w:iCs/>
          <w:sz w:val="22"/>
          <w:szCs w:val="22"/>
          <w:lang w:val="en-GB"/>
        </w:rPr>
        <w:t>Teachers TV: Challenging Behaviour</w:t>
      </w:r>
      <w:r>
        <w:rPr>
          <w:rFonts w:eastAsia="Calibri" w:cs="Calibri"/>
          <w:sz w:val="22"/>
          <w:szCs w:val="22"/>
          <w:lang w:val="en-GB"/>
        </w:rPr>
        <w:t xml:space="preserve">. </w:t>
      </w:r>
      <w:r>
        <w:rPr>
          <w:rFonts w:eastAsia="Calibri" w:cs="Calibri"/>
          <w:i/>
          <w:iCs/>
          <w:sz w:val="22"/>
          <w:szCs w:val="22"/>
          <w:lang w:val="en-GB"/>
        </w:rPr>
        <w:t>YouTube</w:t>
      </w:r>
      <w:r>
        <w:rPr>
          <w:rFonts w:eastAsia="Calibri" w:cs="Calibri"/>
          <w:sz w:val="22"/>
          <w:szCs w:val="22"/>
          <w:lang w:val="en-GB"/>
        </w:rPr>
        <w:t xml:space="preserve">. Retrieved November 18, 2023, from </w:t>
      </w:r>
      <w:hyperlink r:id="rId3">
        <w:r>
          <w:rPr>
            <w:rStyle w:val="Internetovodkaz"/>
            <w:rFonts w:eastAsia="Calibri" w:cs="Calibri"/>
            <w:sz w:val="22"/>
            <w:szCs w:val="22"/>
            <w:lang w:val="en-GB"/>
          </w:rPr>
          <w:t>https://www.youtube.com/watch?v=sPvQ7-hTJgM</w:t>
        </w:r>
      </w:hyperlink>
      <w:r>
        <w:rPr>
          <w:rFonts w:eastAsia="Calibri" w:cs="Calibri"/>
          <w:sz w:val="22"/>
          <w:szCs w:val="22"/>
          <w:lang w:val="en-GB"/>
        </w:rPr>
        <w:t>.</w:t>
      </w:r>
    </w:p>
    <w:p>
      <w:pPr>
        <w:pStyle w:val="Normal"/>
        <w:ind w:left="567" w:hanging="567"/>
        <w:rPr>
          <w:rFonts w:ascii="Calibri" w:hAnsi="Calibri" w:eastAsia="Calibri" w:cs="Calibri"/>
          <w:sz w:val="22"/>
          <w:szCs w:val="22"/>
          <w:lang w:val="en-GB"/>
        </w:rPr>
      </w:pPr>
      <w:r>
        <w:rPr>
          <w:rFonts w:eastAsia="Calibri" w:cs="Calibri"/>
          <w:sz w:val="22"/>
          <w:szCs w:val="22"/>
          <w:lang w:val="en-GB"/>
        </w:rPr>
        <w:t xml:space="preserve">Myer GD;Faigenbaum AD;Edwards NM;Clark JF;Best TM;Sallis RE; (2015, January 23). </w:t>
      </w:r>
      <w:r>
        <w:rPr>
          <w:rFonts w:eastAsia="Calibri" w:cs="Calibri"/>
          <w:i/>
          <w:iCs/>
          <w:sz w:val="22"/>
          <w:szCs w:val="22"/>
          <w:lang w:val="en-GB"/>
        </w:rPr>
        <w:t>Sixty Minutes of what? A developing brain perspective for activating children with an integrative exercise approach</w:t>
      </w:r>
      <w:r>
        <w:rPr>
          <w:rFonts w:eastAsia="Calibri" w:cs="Calibri"/>
          <w:sz w:val="22"/>
          <w:szCs w:val="22"/>
          <w:lang w:val="en-GB"/>
        </w:rPr>
        <w:t xml:space="preserve">. British journal of sports medicine. </w:t>
      </w:r>
      <w:hyperlink r:id="rId4">
        <w:r>
          <w:rPr>
            <w:rStyle w:val="Internetovodkaz"/>
            <w:rFonts w:eastAsia="Calibri" w:cs="Calibri"/>
            <w:sz w:val="22"/>
            <w:szCs w:val="22"/>
            <w:lang w:val="en-GB"/>
          </w:rPr>
          <w:t>https://pubmed.ncbi.nlm.nih.gov/25617423/</w:t>
        </w:r>
      </w:hyperlink>
    </w:p>
    <w:p>
      <w:pPr>
        <w:pStyle w:val="Normal"/>
        <w:spacing w:before="0" w:after="160"/>
        <w:ind w:left="0" w:hanging="0"/>
        <w:rPr>
          <w:lang w:val="en-GB"/>
        </w:rPr>
      </w:pPr>
      <w:r>
        <w:rPr/>
      </w:r>
    </w:p>
    <w:sectPr>
      <w:headerReference w:type="default" r:id="rId5"/>
      <w:footerReference w:type="default" r:id="rId6"/>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01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005"/>
      <w:gridCol w:w="3005"/>
      <w:gridCol w:w="3005"/>
    </w:tblGrid>
    <w:tr>
      <w:trPr>
        <w:trHeight w:val="300" w:hRule="atLeast"/>
      </w:trPr>
      <w:tc>
        <w:tcPr>
          <w:tcW w:w="3005" w:type="dxa"/>
          <w:tcBorders/>
        </w:tcPr>
        <w:p>
          <w:pPr>
            <w:pStyle w:val="Zhlav"/>
            <w:widowControl/>
            <w:bidi w:val="0"/>
            <w:spacing w:before="0" w:after="0"/>
            <w:ind w:left="-115" w:hanging="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3005" w:type="dxa"/>
          <w:tcBorders/>
        </w:tcPr>
        <w:p>
          <w:pPr>
            <w:pStyle w:val="Zhlav"/>
            <w:widowControl/>
            <w:bidi w:val="0"/>
            <w:spacing w:before="0" w:after="0"/>
            <w:jc w:val="center"/>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3005" w:type="dxa"/>
          <w:tcBorders/>
        </w:tcPr>
        <w:p>
          <w:pPr>
            <w:pStyle w:val="Zhlav"/>
            <w:widowControl/>
            <w:bidi w:val="0"/>
            <w:spacing w:before="0" w:after="0"/>
            <w:ind w:right="-115" w:hanging="0"/>
            <w:jc w:val="right"/>
            <w:rPr>
              <w:rFonts w:ascii="Calibri" w:hAnsi="Calibri" w:eastAsia="Calibri" w:cs=""/>
              <w:kern w:val="0"/>
              <w:sz w:val="22"/>
              <w:szCs w:val="22"/>
              <w:lang w:val="cs-CZ" w:eastAsia="en-US" w:bidi="ar-SA"/>
            </w:rPr>
          </w:pPr>
          <w:r>
            <w:rPr>
              <w:rFonts w:eastAsia="Calibri" w:cs=""/>
              <w:kern w:val="0"/>
              <w:sz w:val="22"/>
              <w:szCs w:val="22"/>
              <w:lang w:val="cs-CZ" w:eastAsia="en-US" w:bidi="ar-SA"/>
            </w:rPr>
          </w:r>
        </w:p>
      </w:tc>
    </w:tr>
  </w:tbl>
  <w:p>
    <w:pPr>
      <w:pStyle w:val="Zpat"/>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01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005"/>
      <w:gridCol w:w="3005"/>
      <w:gridCol w:w="3005"/>
    </w:tblGrid>
    <w:tr>
      <w:trPr>
        <w:trHeight w:val="300" w:hRule="atLeast"/>
      </w:trPr>
      <w:tc>
        <w:tcPr>
          <w:tcW w:w="3005" w:type="dxa"/>
          <w:tcBorders/>
        </w:tcPr>
        <w:p>
          <w:pPr>
            <w:pStyle w:val="Zhlav"/>
            <w:widowControl/>
            <w:bidi w:val="0"/>
            <w:spacing w:before="0" w:after="0"/>
            <w:ind w:left="-115" w:hanging="0"/>
            <w:jc w:val="left"/>
            <w:rPr>
              <w:rFonts w:ascii="Calibri" w:hAnsi="Calibri" w:eastAsia="Calibri" w:cs=""/>
              <w:kern w:val="0"/>
              <w:sz w:val="22"/>
              <w:szCs w:val="22"/>
              <w:lang w:val="cs-CZ" w:eastAsia="en-US" w:bidi="ar-SA"/>
            </w:rPr>
          </w:pPr>
          <w:r>
            <w:rPr>
              <w:rFonts w:eastAsia="Calibri" w:cs=""/>
              <w:kern w:val="0"/>
              <w:sz w:val="22"/>
              <w:szCs w:val="22"/>
              <w:lang w:val="cs-CZ" w:eastAsia="en-US" w:bidi="ar-SA"/>
            </w:rPr>
            <w:t xml:space="preserve">Lucie Petráková </w:t>
          </w:r>
          <w:r>
            <w:rPr>
              <w:rFonts w:eastAsia="Calibri" w:cs=""/>
              <w:kern w:val="0"/>
              <w:sz w:val="22"/>
              <w:szCs w:val="22"/>
              <w:lang w:val="cs-CZ" w:eastAsia="en-US" w:bidi="ar-SA"/>
            </w:rPr>
            <w:t>214014</w:t>
          </w:r>
        </w:p>
      </w:tc>
      <w:tc>
        <w:tcPr>
          <w:tcW w:w="3005" w:type="dxa"/>
          <w:tcBorders/>
        </w:tcPr>
        <w:p>
          <w:pPr>
            <w:pStyle w:val="Zhlav"/>
            <w:widowControl/>
            <w:bidi w:val="0"/>
            <w:spacing w:before="0" w:after="0"/>
            <w:jc w:val="center"/>
            <w:rPr>
              <w:rFonts w:ascii="Calibri" w:hAnsi="Calibri" w:eastAsia="Calibri" w:cs=""/>
              <w:kern w:val="0"/>
              <w:sz w:val="22"/>
              <w:szCs w:val="22"/>
              <w:lang w:val="cs-CZ" w:eastAsia="en-US" w:bidi="ar-SA"/>
            </w:rPr>
          </w:pPr>
          <w:r>
            <w:rPr>
              <w:rFonts w:eastAsia="Calibri" w:cs=""/>
              <w:kern w:val="0"/>
              <w:sz w:val="22"/>
              <w:szCs w:val="22"/>
              <w:lang w:val="cs-CZ" w:eastAsia="en-US" w:bidi="ar-SA"/>
            </w:rPr>
          </w:r>
        </w:p>
      </w:tc>
      <w:tc>
        <w:tcPr>
          <w:tcW w:w="3005" w:type="dxa"/>
          <w:tcBorders/>
        </w:tcPr>
        <w:p>
          <w:pPr>
            <w:pStyle w:val="Zhlav"/>
            <w:widowControl/>
            <w:bidi w:val="0"/>
            <w:spacing w:before="0" w:after="0"/>
            <w:ind w:right="-115" w:hanging="0"/>
            <w:jc w:val="right"/>
            <w:rPr>
              <w:rFonts w:ascii="Calibri" w:hAnsi="Calibri" w:eastAsia="Calibri" w:cs=""/>
              <w:kern w:val="0"/>
              <w:sz w:val="22"/>
              <w:szCs w:val="22"/>
              <w:lang w:val="cs-CZ" w:eastAsia="en-US" w:bidi="ar-SA"/>
            </w:rPr>
          </w:pPr>
          <w:r>
            <w:rPr>
              <w:rFonts w:eastAsia="Calibri" w:cs=""/>
              <w:kern w:val="0"/>
              <w:sz w:val="22"/>
              <w:szCs w:val="22"/>
              <w:lang w:val="cs-CZ" w:eastAsia="en-US" w:bidi="ar-SA"/>
            </w:rPr>
          </w:r>
        </w:p>
      </w:tc>
    </w:tr>
  </w:tbl>
  <w:p>
    <w:pPr>
      <w:pStyle w:val="Zhlav"/>
      <w:bidi w:val="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Pr>
      <w:color w:val="0563C1" w:themeColor="hyperlink"/>
      <w:u w:val="single"/>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Zhlavazpat">
    <w:name w:val="Záhlaví a zápatí"/>
    <w:basedOn w:val="Normal"/>
    <w:qFormat/>
    <w:pPr/>
    <w:rPr/>
  </w:style>
  <w:style w:type="paragraph" w:styleId="Zhlav">
    <w:name w:val="Header"/>
    <w:basedOn w:val="Normal"/>
    <w:link w:val="HeaderChar"/>
    <w:uiPriority w:val="99"/>
    <w:unhideWhenUsed/>
    <w:pPr>
      <w:tabs>
        <w:tab w:val="clear" w:pos="708"/>
        <w:tab w:val="center" w:pos="4680" w:leader="none"/>
        <w:tab w:val="right" w:pos="9360" w:leader="none"/>
      </w:tabs>
      <w:spacing w:lineRule="auto" w:line="240" w:before="0" w:after="0"/>
    </w:pPr>
    <w:rPr/>
  </w:style>
  <w:style w:type="paragraph" w:styleId="Zpat">
    <w:name w:val="Footer"/>
    <w:basedOn w:val="Normal"/>
    <w:link w:val="FooterChar"/>
    <w:uiPriority w:val="99"/>
    <w:unhideWhenUsed/>
    <w:pPr>
      <w:tabs>
        <w:tab w:val="clear" w:pos="708"/>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sPvQ7-hTJgM" TargetMode="External"/><Relationship Id="rId3" Type="http://schemas.openxmlformats.org/officeDocument/2006/relationships/hyperlink" Target="https://www.youtube.com/watch?v=sPvQ7-hTJgM" TargetMode="External"/><Relationship Id="rId4" Type="http://schemas.openxmlformats.org/officeDocument/2006/relationships/hyperlink" Target="https://pubmed.ncbi.nlm.nih.gov/25617423/"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LibreOffice/7.3.6.2$Windows_X86_64 LibreOffice_project/c28ca90fd6e1a19e189fc16c05f8f8924961e12e</Application>
  <AppVersion>15.0000</AppVersion>
  <Pages>1</Pages>
  <Words>416</Words>
  <Characters>2342</Characters>
  <CharactersWithSpaces>2751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2023-11-16T13:43:53Z</dcterms:created>
  <dc:creator>Lucie Petráková</dc:creator>
  <dc:description/>
  <dc:language>cs-CZ</dc:language>
  <cp:lastModifiedBy/>
  <dcterms:modified xsi:type="dcterms:W3CDTF">2023-11-18T17:49:15Z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